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209" w14:textId="47872D11" w:rsidR="0070555C" w:rsidRDefault="00876E05" w:rsidP="00876E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E05">
        <w:rPr>
          <w:rFonts w:ascii="Times New Roman" w:hAnsi="Times New Roman" w:cs="Times New Roman"/>
          <w:b/>
          <w:bCs/>
          <w:sz w:val="32"/>
          <w:szCs w:val="32"/>
        </w:rPr>
        <w:t>Порядок определения цен на электрическую энергию (мощность)</w:t>
      </w:r>
    </w:p>
    <w:p w14:paraId="27D8CA7B" w14:textId="42DC9A57" w:rsidR="00876E05" w:rsidRDefault="00876E05" w:rsidP="00876E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9D0EBB" w14:textId="77777777" w:rsidR="00876E05" w:rsidRPr="00876E05" w:rsidRDefault="00876E05" w:rsidP="00876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05">
        <w:rPr>
          <w:rFonts w:ascii="Times New Roman" w:hAnsi="Times New Roman" w:cs="Times New Roman"/>
          <w:sz w:val="28"/>
          <w:szCs w:val="28"/>
        </w:rPr>
        <w:t>Порядок определения стоимости электрической энергии, поставляемой гарантирующими поставщиками, а также энергосбытовыми организациями, к числу покупателей которых относится население, определён Основными положениями функционирования розничных рынков. Указанные компании обязаны поставлять часть электроэнергии по регулируемым ценам, а часть по нерегулируемым ценам в рамках предельных уровней нерегулируемых цен. Население и приравненные к населению категории потребители оплачивает всю фактически потребленную электроэнергию только по регулируемым тарифам. Предельные уровни нерегулируемых цен определяются по итогам каждого месяца на основе фактически сложившихся цен оптового рынка.</w:t>
      </w:r>
    </w:p>
    <w:p w14:paraId="4B4B1012" w14:textId="77777777" w:rsidR="00876E05" w:rsidRPr="00876E05" w:rsidRDefault="00876E05" w:rsidP="00876E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9C44A" w14:textId="19B47136" w:rsidR="00876E05" w:rsidRPr="00876E05" w:rsidRDefault="00876E05" w:rsidP="00876E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E05">
        <w:rPr>
          <w:rFonts w:ascii="Times New Roman" w:hAnsi="Times New Roman" w:cs="Times New Roman"/>
          <w:sz w:val="28"/>
          <w:szCs w:val="28"/>
        </w:rPr>
        <w:t>Энергосбытовые организации, в отличие от гарантирующих поставщиков, свободны в заключение договоров энергоснабжения. При этом, если к числу покупателей энергосбытовой компанией не относится население и приравненные категории потребителей, цена в договорах, заключаемых такими компаниями, определяется соглашением сторон.</w:t>
      </w:r>
    </w:p>
    <w:sectPr w:rsidR="00876E05" w:rsidRPr="0087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1F"/>
    <w:rsid w:val="0070555C"/>
    <w:rsid w:val="00876E05"/>
    <w:rsid w:val="00B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4D17"/>
  <w15:chartTrackingRefBased/>
  <w15:docId w15:val="{D48CC31A-6390-4493-9DFC-E66F909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Courier New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2022-10-25T02:23:00Z</dcterms:created>
  <dcterms:modified xsi:type="dcterms:W3CDTF">2022-10-25T02:24:00Z</dcterms:modified>
</cp:coreProperties>
</file>